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63350" w14:textId="77777777" w:rsid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Что такое Программа долгосрочных сбережений</w:t>
      </w:r>
    </w:p>
    <w:p w14:paraId="779FC0E0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4CB852A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С 1 января 2024 г. в России заработала программа долгосрочных сбережений. С её помощью вы можете накопить средства и воспользоваться ими в будущем —например, на приобретение недвижимости, образование детей, а также дополнительного доход к пенсии или в особых жизненных ситуациях.</w:t>
      </w:r>
    </w:p>
    <w:p w14:paraId="1EC074E6" w14:textId="77777777" w:rsid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1741">
        <w:rPr>
          <w:rFonts w:ascii="Times New Roman" w:hAnsi="Times New Roman" w:cs="Times New Roman"/>
          <w:sz w:val="28"/>
          <w:szCs w:val="28"/>
        </w:rPr>
        <w:t>Негосударственный пенсионный фонд – оператор программы, который вы выберете, будет инвестировать ваши средства, чтобы приумножить сбережения. При выполнении определённых условий вы получите от государства прибавку к своим накоплениям.</w:t>
      </w:r>
    </w:p>
    <w:p w14:paraId="04A01330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236DED5" w14:textId="6E0F8331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Особенности программы</w:t>
      </w:r>
    </w:p>
    <w:p w14:paraId="5CCDB2AC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1. Формирование сбережений за счет:</w:t>
      </w:r>
    </w:p>
    <w:p w14:paraId="5A4C65E5" w14:textId="77777777" w:rsidR="00DC1741" w:rsidRPr="00DC1741" w:rsidRDefault="00DC1741" w:rsidP="00DC17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личных взносов</w:t>
      </w:r>
    </w:p>
    <w:p w14:paraId="3FEDF43C" w14:textId="77777777" w:rsidR="00DC1741" w:rsidRPr="00DC1741" w:rsidRDefault="00DC1741" w:rsidP="00DC17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взносов работодателя</w:t>
      </w:r>
    </w:p>
    <w:p w14:paraId="26BF66CF" w14:textId="77777777" w:rsidR="00DC1741" w:rsidRPr="00DC1741" w:rsidRDefault="00DC1741" w:rsidP="00DC17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софинансирования государства</w:t>
      </w:r>
    </w:p>
    <w:p w14:paraId="17D7D1D8" w14:textId="77777777" w:rsidR="00DC1741" w:rsidRPr="00DC1741" w:rsidRDefault="00DC1741" w:rsidP="00DC17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пенсионных накоплений</w:t>
      </w:r>
    </w:p>
    <w:p w14:paraId="4D99F940" w14:textId="77777777" w:rsidR="00DC1741" w:rsidRPr="00DC1741" w:rsidRDefault="00DC1741" w:rsidP="00DC174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инвестиционного дохода</w:t>
      </w:r>
    </w:p>
    <w:p w14:paraId="26FBE56B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2. Условия осуществления выплат:</w:t>
      </w:r>
    </w:p>
    <w:p w14:paraId="289CF331" w14:textId="77777777" w:rsidR="00DC1741" w:rsidRPr="00DC1741" w:rsidRDefault="00DC1741" w:rsidP="00DC174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по истечении 15 лет с даты заключения договора</w:t>
      </w:r>
    </w:p>
    <w:p w14:paraId="282A76EB" w14:textId="77777777" w:rsidR="00DC1741" w:rsidRPr="00DC1741" w:rsidRDefault="00DC1741" w:rsidP="00DC174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по достижении возраста 55 (женщины), 60 (мужчины)</w:t>
      </w:r>
    </w:p>
    <w:p w14:paraId="0020E03B" w14:textId="77777777" w:rsidR="00DC1741" w:rsidRPr="00DC1741" w:rsidRDefault="00DC1741" w:rsidP="00DC174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досрочно, в особых жизненных ситуациях (дорогостоящее лечение, потеря кормильца)</w:t>
      </w:r>
    </w:p>
    <w:p w14:paraId="0846D628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3. Виды выплат:</w:t>
      </w:r>
    </w:p>
    <w:p w14:paraId="20928225" w14:textId="77777777" w:rsidR="00DC1741" w:rsidRPr="00DC1741" w:rsidRDefault="00DC1741" w:rsidP="00DC17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пожизненная</w:t>
      </w:r>
    </w:p>
    <w:p w14:paraId="2F977D7B" w14:textId="77777777" w:rsidR="00DC1741" w:rsidRPr="00DC1741" w:rsidRDefault="00DC1741" w:rsidP="00DC17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периодическая выплата (с установленным сроком выплаты)</w:t>
      </w:r>
    </w:p>
    <w:p w14:paraId="61B59D2E" w14:textId="77777777" w:rsidR="00DC1741" w:rsidRPr="00DC1741" w:rsidRDefault="00DC1741" w:rsidP="00DC174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единовременная выплата (по истечении 15 лет с даты заключения договора или если размер пожизненных периодических выплат в случае их назначения составляет менее 10% прожиточного минимума пенсионера в целом по Российской Федерации)</w:t>
      </w:r>
    </w:p>
    <w:p w14:paraId="10E47102" w14:textId="77777777" w:rsidR="00DC1741" w:rsidRPr="00DC1741" w:rsidRDefault="00DC1741" w:rsidP="00DC174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F5BC678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Преимущества программы</w:t>
      </w:r>
    </w:p>
    <w:p w14:paraId="4ED98FCE" w14:textId="77777777" w:rsidR="00DC1741" w:rsidRPr="00DC1741" w:rsidRDefault="00DC1741" w:rsidP="00DC1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b/>
          <w:bCs/>
          <w:sz w:val="28"/>
          <w:szCs w:val="28"/>
        </w:rPr>
        <w:t>1. Государственная поддержка</w:t>
      </w:r>
    </w:p>
    <w:p w14:paraId="0B6EC41B" w14:textId="77777777" w:rsidR="00DC1741" w:rsidRPr="00DC1741" w:rsidRDefault="00DC1741" w:rsidP="00DC17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государственная поддержка формирования долгосрочных сбережений граждан предусматривает софинансирование взносов вкладчиков – физических лиц, уплаченных по договорам долгосрочных сбережений</w:t>
      </w:r>
    </w:p>
    <w:p w14:paraId="3365F35C" w14:textId="77777777" w:rsidR="00DC1741" w:rsidRPr="00DC1741" w:rsidRDefault="00DC1741" w:rsidP="00DC17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государственная поддержка не распространяется на средства пенсионных накоплений переведенных в программу долгосрочных сбережений в виде единовременного взноса</w:t>
      </w:r>
    </w:p>
    <w:p w14:paraId="6935E90F" w14:textId="77777777" w:rsidR="00DC1741" w:rsidRPr="00DC1741" w:rsidRDefault="00DC1741" w:rsidP="00DC17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для получения государственной поддержки необходимо внести не менее </w:t>
      </w:r>
      <w:r w:rsidRPr="00DC1741">
        <w:rPr>
          <w:rFonts w:ascii="Times New Roman" w:hAnsi="Times New Roman" w:cs="Times New Roman"/>
          <w:b/>
          <w:bCs/>
          <w:sz w:val="28"/>
          <w:szCs w:val="28"/>
        </w:rPr>
        <w:t>2 000 рублей</w:t>
      </w:r>
      <w:r w:rsidRPr="00DC1741">
        <w:rPr>
          <w:rFonts w:ascii="Times New Roman" w:hAnsi="Times New Roman" w:cs="Times New Roman"/>
          <w:sz w:val="28"/>
          <w:szCs w:val="28"/>
        </w:rPr>
        <w:t> в течение года</w:t>
      </w:r>
    </w:p>
    <w:p w14:paraId="543AE014" w14:textId="77777777" w:rsidR="00DC1741" w:rsidRPr="00DC1741" w:rsidRDefault="00DC1741" w:rsidP="00DC17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741">
        <w:rPr>
          <w:rFonts w:ascii="Times New Roman" w:hAnsi="Times New Roman" w:cs="Times New Roman"/>
          <w:sz w:val="28"/>
          <w:szCs w:val="28"/>
        </w:rPr>
        <w:t>максимальный размер софинансирования для всех вкладчиков является одинаковым и составляет </w:t>
      </w:r>
      <w:r w:rsidRPr="00DC1741">
        <w:rPr>
          <w:rFonts w:ascii="Times New Roman" w:hAnsi="Times New Roman" w:cs="Times New Roman"/>
          <w:b/>
          <w:bCs/>
          <w:sz w:val="28"/>
          <w:szCs w:val="28"/>
        </w:rPr>
        <w:t>36 тысяч рублей в год.</w:t>
      </w:r>
      <w:r w:rsidRPr="00DC1741">
        <w:rPr>
          <w:rFonts w:ascii="Times New Roman" w:hAnsi="Times New Roman" w:cs="Times New Roman"/>
          <w:sz w:val="28"/>
          <w:szCs w:val="28"/>
        </w:rPr>
        <w:t xml:space="preserve"> При этом </w:t>
      </w:r>
      <w:r w:rsidRPr="00DC1741">
        <w:rPr>
          <w:rFonts w:ascii="Times New Roman" w:hAnsi="Times New Roman" w:cs="Times New Roman"/>
          <w:sz w:val="28"/>
          <w:szCs w:val="28"/>
        </w:rPr>
        <w:lastRenderedPageBreak/>
        <w:t>коэффициент софинансирования зависит от среднемесячного дохода вкладчика –участника программы</w:t>
      </w:r>
    </w:p>
    <w:p w14:paraId="71B3543A" w14:textId="77777777" w:rsidR="00DC1741" w:rsidRPr="00DC1741" w:rsidRDefault="00DC1741" w:rsidP="00DC174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1741">
        <w:rPr>
          <w:rFonts w:ascii="Times New Roman" w:hAnsi="Times New Roman" w:cs="Times New Roman"/>
          <w:sz w:val="28"/>
          <w:szCs w:val="28"/>
        </w:rPr>
        <w:t>cофинансирование</w:t>
      </w:r>
      <w:proofErr w:type="spellEnd"/>
      <w:r w:rsidRPr="00DC1741">
        <w:rPr>
          <w:rFonts w:ascii="Times New Roman" w:hAnsi="Times New Roman" w:cs="Times New Roman"/>
          <w:sz w:val="28"/>
          <w:szCs w:val="28"/>
        </w:rPr>
        <w:t xml:space="preserve"> государством уплаченных взносов граждан осуществляется ежегодно в течение </w:t>
      </w:r>
      <w:r w:rsidRPr="00DC1741">
        <w:rPr>
          <w:rFonts w:ascii="Times New Roman" w:hAnsi="Times New Roman" w:cs="Times New Roman"/>
          <w:b/>
          <w:bCs/>
          <w:sz w:val="28"/>
          <w:szCs w:val="28"/>
        </w:rPr>
        <w:t>10 лет</w:t>
      </w:r>
      <w:r w:rsidRPr="00DC1741">
        <w:rPr>
          <w:rFonts w:ascii="Times New Roman" w:hAnsi="Times New Roman" w:cs="Times New Roman"/>
          <w:sz w:val="28"/>
          <w:szCs w:val="28"/>
        </w:rPr>
        <w:t> с момента начала уплаты взносов</w:t>
      </w:r>
    </w:p>
    <w:p w14:paraId="2BEF5286" w14:textId="77777777" w:rsidR="00DC1741" w:rsidRPr="00DC1741" w:rsidRDefault="00DC1741" w:rsidP="00DC1741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A3143"/>
          <w:sz w:val="28"/>
          <w:szCs w:val="28"/>
        </w:rPr>
      </w:pPr>
      <w:r w:rsidRPr="00DC1741">
        <w:rPr>
          <w:rStyle w:val="ad"/>
          <w:rFonts w:eastAsiaTheme="majorEastAsia"/>
          <w:color w:val="2A3143"/>
          <w:sz w:val="28"/>
          <w:szCs w:val="28"/>
        </w:rPr>
        <w:t>2. Налоговый вычет</w:t>
      </w:r>
    </w:p>
    <w:p w14:paraId="173D9C0C" w14:textId="77777777" w:rsidR="00DC1741" w:rsidRPr="00DC1741" w:rsidRDefault="00DC1741" w:rsidP="00DC1741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A3143"/>
          <w:sz w:val="28"/>
          <w:szCs w:val="28"/>
        </w:rPr>
      </w:pPr>
      <w:r w:rsidRPr="00DC1741">
        <w:rPr>
          <w:color w:val="2A3143"/>
          <w:sz w:val="28"/>
          <w:szCs w:val="28"/>
        </w:rPr>
        <w:t>Ежегодный налоговый вычет можно получить на сумму взносов уплаченных в программу долгосрочных сбережений до 400 тыс. рублей в год</w:t>
      </w:r>
    </w:p>
    <w:p w14:paraId="31984922" w14:textId="77777777" w:rsidR="00DC1741" w:rsidRPr="00DC1741" w:rsidRDefault="00DC1741" w:rsidP="00DC1741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A3143"/>
          <w:sz w:val="28"/>
          <w:szCs w:val="28"/>
        </w:rPr>
      </w:pPr>
      <w:r w:rsidRPr="00DC1741">
        <w:rPr>
          <w:rStyle w:val="ad"/>
          <w:rFonts w:eastAsiaTheme="majorEastAsia"/>
          <w:color w:val="2A3143"/>
          <w:sz w:val="28"/>
          <w:szCs w:val="28"/>
        </w:rPr>
        <w:t>3. Гарантирование</w:t>
      </w:r>
    </w:p>
    <w:p w14:paraId="3A3A6FD9" w14:textId="77777777" w:rsidR="00DC1741" w:rsidRPr="00DC1741" w:rsidRDefault="00DC1741" w:rsidP="00DC1741">
      <w:pPr>
        <w:pStyle w:val="ac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A3143"/>
          <w:sz w:val="28"/>
          <w:szCs w:val="28"/>
        </w:rPr>
      </w:pPr>
      <w:r w:rsidRPr="00DC1741">
        <w:rPr>
          <w:color w:val="2A3143"/>
          <w:sz w:val="28"/>
          <w:szCs w:val="28"/>
        </w:rPr>
        <w:t>Государство гарантирует сохранность внесенных гражданами средств и дохода от их инвестирования </w:t>
      </w:r>
      <w:r w:rsidRPr="00DC1741">
        <w:rPr>
          <w:rStyle w:val="ad"/>
          <w:rFonts w:eastAsiaTheme="majorEastAsia"/>
          <w:color w:val="2A3143"/>
          <w:sz w:val="28"/>
          <w:szCs w:val="28"/>
        </w:rPr>
        <w:t>до 2,8 млн рублей.</w:t>
      </w:r>
      <w:r w:rsidRPr="00DC1741">
        <w:rPr>
          <w:color w:val="2A3143"/>
          <w:sz w:val="28"/>
          <w:szCs w:val="28"/>
        </w:rPr>
        <w:t> Максимальный размер гарантирования дополнительно увеличивается на сумму переведенных в программу пенсионных накоплений, сумму софинансирования и дохода от их инвестирования</w:t>
      </w:r>
    </w:p>
    <w:p w14:paraId="17A86947" w14:textId="77777777" w:rsidR="00DC1741" w:rsidRPr="00DC1741" w:rsidRDefault="00DC1741" w:rsidP="00DC1741">
      <w:pPr>
        <w:pStyle w:val="ac"/>
        <w:shd w:val="clear" w:color="auto" w:fill="FFFFFF"/>
        <w:spacing w:before="0" w:beforeAutospacing="0" w:after="0" w:afterAutospacing="0"/>
        <w:ind w:left="709"/>
        <w:jc w:val="both"/>
        <w:rPr>
          <w:color w:val="2A3143"/>
          <w:sz w:val="28"/>
          <w:szCs w:val="28"/>
        </w:rPr>
      </w:pPr>
    </w:p>
    <w:p w14:paraId="26E53F9D" w14:textId="77777777" w:rsidR="00DC1741" w:rsidRPr="00DC1741" w:rsidRDefault="00DC1741" w:rsidP="00DC1741">
      <w:pPr>
        <w:pStyle w:val="a7"/>
        <w:shd w:val="clear" w:color="auto" w:fill="FFFFFF"/>
        <w:spacing w:after="0" w:line="240" w:lineRule="auto"/>
        <w:ind w:left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b/>
          <w:bCs/>
          <w:color w:val="2A3143"/>
          <w:kern w:val="0"/>
          <w:sz w:val="28"/>
          <w:szCs w:val="28"/>
          <w:lang w:eastAsia="ru-RU"/>
          <w14:ligatures w14:val="none"/>
        </w:rPr>
        <w:t>Как внести единовременный взнос</w:t>
      </w:r>
    </w:p>
    <w:p w14:paraId="43C62681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Гражданин в праве перевести пенсионные накопления в программу долгосрочных сбережений.</w:t>
      </w:r>
    </w:p>
    <w:p w14:paraId="23BFECBF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 xml:space="preserve">Для этого нужно подать </w:t>
      </w:r>
      <w:proofErr w:type="gramStart"/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в негосударственный пенсионный фонд</w:t>
      </w:r>
      <w:proofErr w:type="gramEnd"/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 xml:space="preserve"> в котором формируются средства пенсионных накоплений заявление о единовременном взносе, предусматривающее перевод пенсионных накоплений в программу долгосрочных сбережений.</w:t>
      </w:r>
    </w:p>
    <w:p w14:paraId="14EA129D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Узнать информацию о сформированных в вашу пользу средствах пенсионных накоплений, можно на портале </w:t>
      </w:r>
      <w:hyperlink r:id="rId5" w:history="1">
        <w:r w:rsidRPr="00DC1741">
          <w:rPr>
            <w:rFonts w:ascii="Times New Roman" w:eastAsia="Times New Roman" w:hAnsi="Times New Roman" w:cs="Times New Roman"/>
            <w:color w:val="03A678"/>
            <w:kern w:val="0"/>
            <w:sz w:val="28"/>
            <w:szCs w:val="28"/>
            <w:u w:val="single"/>
            <w:lang w:eastAsia="ru-RU"/>
            <w14:ligatures w14:val="none"/>
          </w:rPr>
          <w:t>Госуслуги</w:t>
        </w:r>
      </w:hyperlink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.</w:t>
      </w:r>
    </w:p>
    <w:p w14:paraId="72D8BF7D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В случае, если на формирование пенсионных накоплений были направлены средства материнского капитала, то при переводе средств пенсионных накоплений в программу долгосрочных сбережений, материнский капитал возвращается в Социальный фонд России для последующего использования его на </w:t>
      </w:r>
      <w:hyperlink r:id="rId6" w:history="1">
        <w:r w:rsidRPr="00DC1741">
          <w:rPr>
            <w:rFonts w:ascii="Times New Roman" w:eastAsia="Times New Roman" w:hAnsi="Times New Roman" w:cs="Times New Roman"/>
            <w:color w:val="03A678"/>
            <w:kern w:val="0"/>
            <w:sz w:val="28"/>
            <w:szCs w:val="28"/>
            <w:u w:val="single"/>
            <w:lang w:eastAsia="ru-RU"/>
            <w14:ligatures w14:val="none"/>
          </w:rPr>
          <w:t>иные цели</w:t>
        </w:r>
      </w:hyperlink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.</w:t>
      </w:r>
    </w:p>
    <w:p w14:paraId="00370FEE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 xml:space="preserve">В случае, если пенсионные накопления, находятся в ином негосударственном пенсионном фонде или Социальном фонде России для направления их в программу долгосрочных сбережений необходимо сначала перевести </w:t>
      </w:r>
      <w:proofErr w:type="gramStart"/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в негосударственный пенсионный фонд</w:t>
      </w:r>
      <w:proofErr w:type="gramEnd"/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 xml:space="preserve"> с которым гражданин заключил или планирует заключить договор по программе долгосрочных сбережений затем подать заявление о единовременном взносе.</w:t>
      </w:r>
    </w:p>
    <w:p w14:paraId="5B6AD821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Чтобы перевести пенсионные накопления в выбранный негосударственный пенсионный фонд, нужно подать заявление о срочном или досрочном переходе. Это можно сделать лично в Социальном фонде России</w:t>
      </w:r>
    </w:p>
    <w:p w14:paraId="2DBBE0E1" w14:textId="77777777" w:rsidR="00DC1741" w:rsidRPr="00DC1741" w:rsidRDefault="00DC1741" w:rsidP="00DC1741">
      <w:pPr>
        <w:pStyle w:val="a7"/>
        <w:shd w:val="clear" w:color="auto" w:fill="FFFFFF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</w:p>
    <w:p w14:paraId="2CF24C72" w14:textId="77777777" w:rsidR="00DC1741" w:rsidRPr="00DC1741" w:rsidRDefault="00DC1741" w:rsidP="00DC1741">
      <w:pPr>
        <w:pStyle w:val="a7"/>
        <w:shd w:val="clear" w:color="auto" w:fill="FFFFFF"/>
        <w:spacing w:after="0" w:line="240" w:lineRule="auto"/>
        <w:ind w:left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b/>
          <w:bCs/>
          <w:color w:val="2A3143"/>
          <w:kern w:val="0"/>
          <w:sz w:val="28"/>
          <w:szCs w:val="28"/>
          <w:lang w:eastAsia="ru-RU"/>
          <w14:ligatures w14:val="none"/>
        </w:rPr>
        <w:t>Срочный переход</w:t>
      </w:r>
    </w:p>
    <w:p w14:paraId="666B8D33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Состоится в году, следующем за годом, в котором истекает 5 лет после подачи заявления о переходе. Например, при подаче заявления в 2024 году пенсионные накопления будут переведены в выбранный НПФ в 2030 году</w:t>
      </w:r>
    </w:p>
    <w:p w14:paraId="4714CAEC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Все пенсионные накопления, включая инвестиционный доход, передаются новому страховщику в полном объёме</w:t>
      </w:r>
    </w:p>
    <w:p w14:paraId="20F53242" w14:textId="77777777" w:rsidR="00DC1741" w:rsidRPr="00DC1741" w:rsidRDefault="00DC1741" w:rsidP="00DC1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val="en-US" w:eastAsia="ru-RU"/>
          <w14:ligatures w14:val="none"/>
        </w:rPr>
      </w:pPr>
    </w:p>
    <w:p w14:paraId="03B9A112" w14:textId="77777777" w:rsidR="00DC1741" w:rsidRPr="00DC1741" w:rsidRDefault="00DC1741" w:rsidP="00DC1741">
      <w:pPr>
        <w:pStyle w:val="a7"/>
        <w:shd w:val="clear" w:color="auto" w:fill="FFFFFF"/>
        <w:spacing w:after="0" w:line="240" w:lineRule="auto"/>
        <w:ind w:left="709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b/>
          <w:bCs/>
          <w:color w:val="2A3143"/>
          <w:kern w:val="0"/>
          <w:sz w:val="28"/>
          <w:szCs w:val="28"/>
          <w:lang w:eastAsia="ru-RU"/>
          <w14:ligatures w14:val="none"/>
        </w:rPr>
        <w:lastRenderedPageBreak/>
        <w:t>Досрочный переход</w:t>
      </w:r>
    </w:p>
    <w:p w14:paraId="0364E125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Производится на следующий год после подачи заявления. Например, при подаче заявления на досрочный переход в 2024 году — до 1 декабря — пенсионные накопления будут переведены в выбранный НПФ в 2025 году</w:t>
      </w:r>
    </w:p>
    <w:p w14:paraId="501E055C" w14:textId="77777777" w:rsidR="00DC1741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Часть инвестиционного дохода может быть потеряна. Избежать этого можно, подав заявление о досрочном переходе в год фиксинга. Фиксинг — это установление гарантированного размера пенсионных накоплений на пенсионном счёте в НПФ или на индивидуальном лицевом счёте гражданина в СФР каждые 5 лет после начала их формирования в выбранном фонде Год ближайшего фиксинга можно узнать в НПФ или СФР, где формируются пенсионные накопления. Например, если предыдущий фиксинг был в 2019 году, то в 2024 году можно подавать заявление о досрочном переходе — инвестиционный доход не будет потерян</w:t>
      </w:r>
    </w:p>
    <w:p w14:paraId="5043A1F6" w14:textId="36BC2E9D" w:rsidR="000C227B" w:rsidRPr="00DC1741" w:rsidRDefault="00DC1741" w:rsidP="00DC1741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</w:pPr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 xml:space="preserve">Пенсионные накопления – это средства, сформированные на финансированные накопительной пенсии граждан, которые официально работали в периоде 2002—2013 годах за счет страховых взносов, уплаченных работодателем в обязательном порядке за работника. Также пенсионные накопления могут пополняться гражданином самостоятельно, а также за счет дополнительных добровольных взносов работодателя и материнского капитала. Пенсионные накопления формируются или </w:t>
      </w:r>
      <w:proofErr w:type="gramStart"/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>в негосударственном пенсионном фонде</w:t>
      </w:r>
      <w:proofErr w:type="gramEnd"/>
      <w:r w:rsidRPr="00DC1741">
        <w:rPr>
          <w:rFonts w:ascii="Times New Roman" w:eastAsia="Times New Roman" w:hAnsi="Times New Roman" w:cs="Times New Roman"/>
          <w:color w:val="2A3143"/>
          <w:kern w:val="0"/>
          <w:sz w:val="28"/>
          <w:szCs w:val="28"/>
          <w:lang w:eastAsia="ru-RU"/>
          <w14:ligatures w14:val="none"/>
        </w:rPr>
        <w:t xml:space="preserve"> или в Социальном фонде России в соответствии с ранее сделанным выбором гражданина.</w:t>
      </w:r>
    </w:p>
    <w:sectPr w:rsidR="000C227B" w:rsidRPr="00DC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F34"/>
    <w:multiLevelType w:val="multilevel"/>
    <w:tmpl w:val="E950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14A0D"/>
    <w:multiLevelType w:val="multilevel"/>
    <w:tmpl w:val="4958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974E8"/>
    <w:multiLevelType w:val="multilevel"/>
    <w:tmpl w:val="5F4A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BB16D8"/>
    <w:multiLevelType w:val="multilevel"/>
    <w:tmpl w:val="150E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052985">
    <w:abstractNumId w:val="0"/>
  </w:num>
  <w:num w:numId="2" w16cid:durableId="1871986894">
    <w:abstractNumId w:val="1"/>
  </w:num>
  <w:num w:numId="3" w16cid:durableId="1804151532">
    <w:abstractNumId w:val="3"/>
  </w:num>
  <w:num w:numId="4" w16cid:durableId="619653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C7"/>
    <w:rsid w:val="000C227B"/>
    <w:rsid w:val="00130B90"/>
    <w:rsid w:val="00A872C7"/>
    <w:rsid w:val="00DC1741"/>
    <w:rsid w:val="00F3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D140"/>
  <w15:chartTrackingRefBased/>
  <w15:docId w15:val="{9D021DB6-2BC4-479A-A1DD-B3BB7781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7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87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72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7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72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7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7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7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7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2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87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72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72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72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72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72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72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72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7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7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7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7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7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72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72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72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72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72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72C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C1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C1741"/>
    <w:rPr>
      <w:b/>
      <w:bCs/>
    </w:rPr>
  </w:style>
  <w:style w:type="character" w:styleId="ae">
    <w:name w:val="Hyperlink"/>
    <w:basedOn w:val="a0"/>
    <w:uiPriority w:val="99"/>
    <w:semiHidden/>
    <w:unhideWhenUsed/>
    <w:rsid w:val="00DC17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help/faq/maternal_capital/2581" TargetMode="External"/><Relationship Id="rId5" Type="http://schemas.openxmlformats.org/officeDocument/2006/relationships/hyperlink" Target="https://www.gosuslugi.ru/help/faq/funded_pension/21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2025-11-21T12:34:00Z</dcterms:created>
  <dcterms:modified xsi:type="dcterms:W3CDTF">2025-11-21T12:36:00Z</dcterms:modified>
</cp:coreProperties>
</file>